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7"/>
        <w:widowControl w:val="0"/>
        <w:autoSpaceDE w:val="0"/>
        <w:autoSpaceDN w:val="0"/>
        <w:adjustRightInd w:val="0"/>
        <w:spacing w:before="0" w:after="0" w:line="523" w:lineRule="exact"/>
        <w:jc w:val="center"/>
        <w:rPr>
          <w:rFonts w:ascii="宋体" w:hAnsi="宋体" w:eastAsia="宋体"/>
          <w:b/>
          <w:color w:val="000000"/>
          <w:sz w:val="44"/>
          <w:lang w:eastAsia="zh-CN"/>
        </w:rPr>
      </w:pPr>
      <w:r>
        <w:rPr>
          <w:rFonts w:hint="eastAsia" w:ascii="宋体" w:hAnsi="宋体" w:eastAsia="宋体"/>
          <w:b/>
          <w:color w:val="000000"/>
          <w:sz w:val="44"/>
          <w:lang w:eastAsia="zh-CN"/>
        </w:rPr>
        <w:t>肇庆医学高等专科学校</w:t>
      </w:r>
    </w:p>
    <w:p>
      <w:pPr>
        <w:pStyle w:val="7"/>
        <w:widowControl w:val="0"/>
        <w:autoSpaceDE w:val="0"/>
        <w:autoSpaceDN w:val="0"/>
        <w:adjustRightInd w:val="0"/>
        <w:spacing w:before="0" w:after="0" w:line="523" w:lineRule="exact"/>
        <w:jc w:val="center"/>
        <w:rPr>
          <w:rFonts w:ascii="宋体" w:hAnsi="宋体" w:eastAsia="宋体" w:cs="GHPWNS+·½ÕýÐ¡±êËÎ¼òÌå"/>
          <w:b/>
          <w:color w:val="000000"/>
          <w:sz w:val="44"/>
          <w:lang w:eastAsia="zh-CN"/>
        </w:rPr>
      </w:pPr>
      <w:r>
        <w:rPr>
          <w:rFonts w:ascii="宋体" w:hAnsi="宋体" w:eastAsia="宋体"/>
          <w:b/>
          <w:color w:val="000000"/>
          <w:sz w:val="44"/>
          <w:lang w:eastAsia="zh-CN"/>
        </w:rPr>
        <w:t>2014</w:t>
      </w:r>
      <w:r>
        <w:rPr>
          <w:rFonts w:ascii="宋体" w:hAnsi="宋体" w:eastAsia="宋体" w:cs="GHPWNS+·½ÕýÐ¡±êËÎ¼òÌå"/>
          <w:b/>
          <w:color w:val="000000"/>
          <w:sz w:val="44"/>
          <w:lang w:eastAsia="zh-CN"/>
        </w:rPr>
        <w:t>届毕业生就业质量报告</w:t>
      </w:r>
    </w:p>
    <w:p>
      <w:pPr>
        <w:pStyle w:val="7"/>
        <w:widowControl w:val="0"/>
        <w:autoSpaceDE w:val="0"/>
        <w:autoSpaceDN w:val="0"/>
        <w:adjustRightInd w:val="0"/>
        <w:spacing w:before="0" w:after="0" w:line="281" w:lineRule="exact"/>
        <w:ind w:left="840" w:hanging="840" w:hangingChars="300"/>
        <w:jc w:val="left"/>
        <w:rPr>
          <w:rFonts w:ascii="DHSMIJ+ËÎÌå" w:hAnsi="DHSMIJ+ËÎÌå" w:eastAsia="宋体" w:cs="DHSMIJ+ËÎÌå"/>
          <w:color w:val="000000"/>
          <w:sz w:val="28"/>
          <w:lang w:eastAsia="zh-CN"/>
        </w:rPr>
      </w:pPr>
    </w:p>
    <w:p>
      <w:pPr>
        <w:pStyle w:val="7"/>
        <w:widowControl w:val="0"/>
        <w:autoSpaceDE w:val="0"/>
        <w:autoSpaceDN w:val="0"/>
        <w:adjustRightInd w:val="0"/>
        <w:spacing w:before="0" w:after="0" w:line="281" w:lineRule="exact"/>
        <w:ind w:left="840" w:hanging="840" w:hangingChars="300"/>
        <w:jc w:val="left"/>
        <w:rPr>
          <w:rFonts w:ascii="DHSMIJ+ËÎÌå" w:hAnsi="DHSMIJ+ËÎÌå" w:eastAsia="宋体" w:cs="DHSMIJ+ËÎÌå"/>
          <w:color w:val="000000"/>
          <w:sz w:val="28"/>
          <w:lang w:eastAsia="zh-CN"/>
        </w:rPr>
      </w:pPr>
    </w:p>
    <w:p>
      <w:pPr>
        <w:pStyle w:val="7"/>
        <w:widowControl w:val="0"/>
        <w:autoSpaceDE w:val="0"/>
        <w:autoSpaceDN w:val="0"/>
        <w:adjustRightInd w:val="0"/>
        <w:spacing w:before="0" w:after="0" w:line="360" w:lineRule="auto"/>
        <w:ind w:left="960" w:hanging="960" w:hangingChars="300"/>
        <w:jc w:val="center"/>
        <w:rPr>
          <w:rFonts w:ascii="仿宋_GB2312" w:hAnsi="仿宋" w:eastAsia="仿宋_GB2312" w:cs="DHSMIJ+ËÎÌå"/>
          <w:b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 w:cs="DHSMIJ+ËÎÌå"/>
          <w:b/>
          <w:color w:val="000000"/>
          <w:sz w:val="32"/>
          <w:szCs w:val="32"/>
          <w:lang w:eastAsia="zh-CN"/>
        </w:rPr>
        <w:t xml:space="preserve">第一部分 </w:t>
      </w:r>
      <w:r>
        <w:rPr>
          <w:rFonts w:hint="eastAsia" w:ascii="仿宋_GB2312" w:hAnsi="仿宋" w:eastAsia="仿宋_GB2312"/>
          <w:b/>
          <w:color w:val="000000"/>
          <w:sz w:val="32"/>
          <w:szCs w:val="32"/>
          <w:lang w:eastAsia="zh-CN"/>
        </w:rPr>
        <w:t>2014</w:t>
      </w:r>
      <w:r>
        <w:rPr>
          <w:rFonts w:hint="eastAsia" w:ascii="仿宋_GB2312" w:hAnsi="仿宋" w:eastAsia="仿宋_GB2312" w:cs="DHSMIJ+ËÎÌå"/>
          <w:b/>
          <w:color w:val="000000"/>
          <w:sz w:val="32"/>
          <w:szCs w:val="32"/>
          <w:lang w:eastAsia="zh-CN"/>
        </w:rPr>
        <w:t>届毕业生就业</w:t>
      </w:r>
    </w:p>
    <w:p>
      <w:pPr>
        <w:spacing w:line="360" w:lineRule="auto"/>
        <w:jc w:val="center"/>
        <w:rPr>
          <w:rFonts w:ascii="仿宋_GB2312" w:hAnsi="仿宋" w:eastAsia="仿宋_GB2312" w:cs="DHSMIJ+ËÎÌå"/>
          <w:b/>
          <w:color w:val="000000"/>
          <w:sz w:val="32"/>
          <w:szCs w:val="32"/>
        </w:rPr>
      </w:pPr>
      <w:r>
        <w:rPr>
          <w:rFonts w:hint="eastAsia" w:ascii="仿宋_GB2312" w:hAnsi="仿宋" w:eastAsia="仿宋_GB2312" w:cs="DHSMIJ+ËÎÌå"/>
          <w:b/>
          <w:color w:val="000000"/>
          <w:sz w:val="32"/>
          <w:szCs w:val="32"/>
        </w:rPr>
        <w:t>概  况</w:t>
      </w:r>
    </w:p>
    <w:p>
      <w:pPr>
        <w:spacing w:line="360" w:lineRule="auto"/>
        <w:rPr>
          <w:rFonts w:ascii="仿宋" w:hAnsi="仿宋" w:eastAsia="仿宋" w:cs="DHSMIJ+ËÎÌå"/>
          <w:color w:val="000000"/>
          <w:sz w:val="32"/>
          <w:szCs w:val="32"/>
        </w:rPr>
      </w:pPr>
    </w:p>
    <w:p>
      <w:pPr>
        <w:pStyle w:val="7"/>
        <w:widowControl w:val="0"/>
        <w:autoSpaceDE w:val="0"/>
        <w:autoSpaceDN w:val="0"/>
        <w:adjustRightInd w:val="0"/>
        <w:spacing w:before="0" w:after="0" w:line="360" w:lineRule="auto"/>
        <w:ind w:left="480" w:leftChars="200" w:firstLine="160" w:firstLineChars="50"/>
        <w:jc w:val="left"/>
        <w:rPr>
          <w:rFonts w:ascii="仿宋_GB2312" w:hAnsi="仿宋" w:eastAsia="仿宋_GB2312" w:cs="DHSMIJ+ËÎÌå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 w:cs="DHSMIJ+ËÎÌå"/>
          <w:color w:val="000000"/>
          <w:sz w:val="32"/>
          <w:szCs w:val="32"/>
          <w:lang w:eastAsia="zh-CN"/>
        </w:rPr>
        <w:t>毕业生就业质量是衡量学校人才培养质量的重要指标。</w:t>
      </w:r>
    </w:p>
    <w:p>
      <w:pPr>
        <w:pStyle w:val="7"/>
        <w:widowControl w:val="0"/>
        <w:autoSpaceDE w:val="0"/>
        <w:autoSpaceDN w:val="0"/>
        <w:adjustRightInd w:val="0"/>
        <w:spacing w:before="0" w:after="0" w:line="360" w:lineRule="auto"/>
        <w:jc w:val="left"/>
        <w:rPr>
          <w:rFonts w:ascii="仿宋_GB2312" w:hAnsi="仿宋" w:eastAsia="仿宋_GB2312" w:cs="DHSMIJ+ËÎÌå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 w:cs="DHSMIJ+ËÎÌå"/>
          <w:color w:val="000000"/>
          <w:sz w:val="32"/>
          <w:szCs w:val="32"/>
          <w:lang w:eastAsia="zh-CN"/>
        </w:rPr>
        <w:t>根据《教育部办公厅关于编制发布高校毕业生就业质量年度报告的通知》（教学厅函〔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2014</w:t>
      </w:r>
      <w:r>
        <w:rPr>
          <w:rFonts w:hint="eastAsia" w:ascii="仿宋_GB2312" w:hAnsi="仿宋" w:eastAsia="仿宋_GB2312" w:cs="DHSMIJ+ËÎÌå"/>
          <w:color w:val="000000"/>
          <w:sz w:val="32"/>
          <w:szCs w:val="32"/>
          <w:lang w:eastAsia="zh-CN"/>
        </w:rPr>
        <w:t>〕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25</w:t>
      </w:r>
      <w:r>
        <w:rPr>
          <w:rFonts w:hint="eastAsia" w:ascii="仿宋_GB2312" w:hAnsi="仿宋" w:eastAsia="仿宋_GB2312" w:cs="DHSMIJ+ËÎÌå"/>
          <w:color w:val="000000"/>
          <w:sz w:val="32"/>
          <w:szCs w:val="32"/>
          <w:lang w:eastAsia="zh-CN"/>
        </w:rPr>
        <w:t>号）要求，为全面反映我校毕业生的就业状况与质量，进一步完善质量评估体系，提升毕业生的就业竞争力，现对我校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2014</w:t>
      </w:r>
      <w:r>
        <w:rPr>
          <w:rFonts w:hint="eastAsia" w:ascii="仿宋_GB2312" w:hAnsi="仿宋" w:eastAsia="仿宋_GB2312" w:cs="DHSMIJ+ËÎÌå"/>
          <w:color w:val="000000"/>
          <w:sz w:val="32"/>
          <w:szCs w:val="32"/>
          <w:lang w:eastAsia="zh-CN"/>
        </w:rPr>
        <w:t>届毕业生就业状况进行统计分析（数据统计截止日期为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2014</w:t>
      </w:r>
      <w:r>
        <w:rPr>
          <w:rFonts w:hint="eastAsia" w:ascii="仿宋_GB2312" w:hAnsi="仿宋" w:eastAsia="仿宋_GB2312" w:cs="DHSMIJ+ËÎÌå"/>
          <w:color w:val="000000"/>
          <w:sz w:val="32"/>
          <w:szCs w:val="32"/>
          <w:lang w:eastAsia="zh-CN"/>
        </w:rPr>
        <w:t>年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12</w:t>
      </w:r>
      <w:r>
        <w:rPr>
          <w:rFonts w:hint="eastAsia" w:ascii="仿宋_GB2312" w:hAnsi="仿宋" w:eastAsia="仿宋_GB2312" w:cs="DHSMIJ+ËÎÌå"/>
          <w:color w:val="000000"/>
          <w:sz w:val="32"/>
          <w:szCs w:val="32"/>
          <w:lang w:eastAsia="zh-CN"/>
        </w:rPr>
        <w:t>月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10</w:t>
      </w:r>
      <w:r>
        <w:rPr>
          <w:rFonts w:hint="eastAsia" w:ascii="仿宋_GB2312" w:hAnsi="仿宋" w:eastAsia="仿宋_GB2312" w:cs="DHSMIJ+ËÎÌå"/>
          <w:color w:val="000000"/>
          <w:sz w:val="32"/>
          <w:szCs w:val="32"/>
          <w:lang w:eastAsia="zh-CN"/>
        </w:rPr>
        <w:t>日）。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  <w:lang/>
        </w:rPr>
      </w:pPr>
      <w:r>
        <w:rPr>
          <w:rFonts w:hint="eastAsia" w:ascii="仿宋_GB2312" w:hAnsi="仿宋" w:eastAsia="仿宋_GB2312"/>
          <w:sz w:val="32"/>
          <w:szCs w:val="32"/>
          <w:lang/>
        </w:rPr>
        <w:t>毕业生总数为3039人，最终</w:t>
      </w:r>
      <w:r>
        <w:rPr>
          <w:rFonts w:hint="eastAsia" w:ascii="仿宋_GB2312" w:eastAsia="仿宋_GB2312"/>
          <w:sz w:val="32"/>
          <w:szCs w:val="32"/>
        </w:rPr>
        <w:t>就业人数：2986人，最终就业率为98.26%。</w:t>
      </w:r>
      <w:r>
        <w:rPr>
          <w:rFonts w:hint="eastAsia" w:ascii="仿宋_GB2312" w:hAnsi="仿宋" w:eastAsia="仿宋_GB2312"/>
          <w:sz w:val="32"/>
          <w:szCs w:val="32"/>
          <w:lang/>
        </w:rPr>
        <w:t>学校及各专业就业率见表</w:t>
      </w:r>
      <w:r>
        <w:rPr>
          <w:rFonts w:hint="eastAsia" w:ascii="仿宋_GB2312" w:hAnsi="仿宋" w:eastAsia="仿宋_GB2312"/>
          <w:sz w:val="32"/>
          <w:szCs w:val="32"/>
          <w:vertAlign w:val="subscript"/>
          <w:lang/>
        </w:rPr>
        <w:t>1</w:t>
      </w:r>
      <w:r>
        <w:rPr>
          <w:rFonts w:hint="eastAsia" w:ascii="仿宋_GB2312" w:hAnsi="仿宋" w:eastAsia="仿宋_GB2312"/>
          <w:sz w:val="32"/>
          <w:szCs w:val="32"/>
          <w:lang/>
        </w:rPr>
        <w:t>。</w:t>
      </w:r>
    </w:p>
    <w:p>
      <w:pPr>
        <w:spacing w:line="360" w:lineRule="auto"/>
        <w:ind w:firstLine="480" w:firstLineChars="150"/>
        <w:rPr>
          <w:rFonts w:ascii="仿宋_GB2312" w:hAnsi="仿宋" w:eastAsia="仿宋_GB2312"/>
          <w:sz w:val="32"/>
          <w:szCs w:val="32"/>
          <w:lang/>
        </w:rPr>
      </w:pPr>
      <w:r>
        <w:rPr>
          <w:rFonts w:hint="eastAsia" w:ascii="仿宋_GB2312" w:hAnsi="仿宋" w:eastAsia="仿宋_GB2312"/>
          <w:sz w:val="32"/>
          <w:szCs w:val="32"/>
          <w:lang/>
        </w:rPr>
        <w:t>表</w:t>
      </w:r>
      <w:r>
        <w:rPr>
          <w:rFonts w:hint="eastAsia" w:ascii="仿宋_GB2312" w:hAnsi="仿宋" w:eastAsia="仿宋_GB2312"/>
          <w:sz w:val="32"/>
          <w:szCs w:val="32"/>
          <w:vertAlign w:val="subscript"/>
          <w:lang/>
        </w:rPr>
        <w:t>1</w:t>
      </w:r>
    </w:p>
    <w:tbl>
      <w:tblPr>
        <w:tblStyle w:val="6"/>
        <w:tblW w:w="76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2985"/>
        <w:gridCol w:w="1119"/>
        <w:gridCol w:w="1107"/>
        <w:gridCol w:w="1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32"/>
                <w:lang/>
              </w:rPr>
            </w:pPr>
            <w:r>
              <w:rPr>
                <w:rFonts w:hint="eastAsia" w:ascii="仿宋_GB2312" w:hAnsi="仿宋" w:eastAsia="仿宋_GB2312"/>
                <w:sz w:val="28"/>
                <w:szCs w:val="32"/>
                <w:lang/>
              </w:rPr>
              <w:t>序号</w:t>
            </w:r>
          </w:p>
        </w:tc>
        <w:tc>
          <w:tcPr>
            <w:tcW w:w="298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32"/>
                <w:lang/>
              </w:rPr>
            </w:pPr>
            <w:r>
              <w:rPr>
                <w:rFonts w:hint="eastAsia" w:ascii="仿宋_GB2312" w:hAnsi="仿宋" w:eastAsia="仿宋_GB2312"/>
                <w:sz w:val="28"/>
                <w:szCs w:val="32"/>
                <w:lang/>
              </w:rPr>
              <w:t>专   业</w:t>
            </w:r>
          </w:p>
        </w:tc>
        <w:tc>
          <w:tcPr>
            <w:tcW w:w="1119" w:type="dxa"/>
            <w:tcBorders>
              <w:top w:val="single" w:color="auto" w:sz="12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32"/>
                <w:lang/>
              </w:rPr>
            </w:pPr>
            <w:r>
              <w:rPr>
                <w:rFonts w:hint="eastAsia" w:ascii="仿宋_GB2312" w:hAnsi="仿宋" w:eastAsia="仿宋_GB2312"/>
                <w:sz w:val="28"/>
                <w:szCs w:val="32"/>
                <w:lang/>
              </w:rPr>
              <w:t>毕业 人数</w:t>
            </w:r>
          </w:p>
        </w:tc>
        <w:tc>
          <w:tcPr>
            <w:tcW w:w="1107" w:type="dxa"/>
            <w:tcBorders>
              <w:top w:val="single" w:color="auto" w:sz="12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32"/>
                <w:lang/>
              </w:rPr>
            </w:pPr>
            <w:r>
              <w:rPr>
                <w:rFonts w:hint="eastAsia" w:ascii="仿宋_GB2312" w:hAnsi="仿宋" w:eastAsia="仿宋_GB2312"/>
                <w:sz w:val="28"/>
                <w:szCs w:val="32"/>
                <w:lang/>
              </w:rPr>
              <w:t>就业 人数</w:t>
            </w:r>
          </w:p>
        </w:tc>
        <w:tc>
          <w:tcPr>
            <w:tcW w:w="1531" w:type="dxa"/>
            <w:tcBorders>
              <w:top w:val="single" w:color="auto" w:sz="12" w:space="0"/>
              <w:right w:val="single" w:color="auto" w:sz="12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32"/>
                <w:lang/>
              </w:rPr>
            </w:pPr>
            <w:r>
              <w:rPr>
                <w:rFonts w:hint="eastAsia" w:ascii="仿宋_GB2312" w:hAnsi="仿宋" w:eastAsia="仿宋_GB2312"/>
                <w:sz w:val="28"/>
                <w:szCs w:val="32"/>
                <w:lang/>
              </w:rPr>
              <w:t>最终就  业 率（%）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left w:val="single" w:color="auto" w:sz="12" w:space="0"/>
            </w:tcBorders>
            <w:vAlign w:val="top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  <w:lang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/>
              </w:rPr>
              <w:t>01</w:t>
            </w:r>
          </w:p>
        </w:tc>
        <w:tc>
          <w:tcPr>
            <w:tcW w:w="2985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  <w:lang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护   理</w:t>
            </w:r>
          </w:p>
        </w:tc>
        <w:tc>
          <w:tcPr>
            <w:tcW w:w="1119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  <w:lang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/>
              </w:rPr>
              <w:t>997</w:t>
            </w:r>
          </w:p>
        </w:tc>
        <w:tc>
          <w:tcPr>
            <w:tcW w:w="1107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  <w:lang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/>
              </w:rPr>
              <w:t>988</w:t>
            </w:r>
          </w:p>
        </w:tc>
        <w:tc>
          <w:tcPr>
            <w:tcW w:w="1531" w:type="dxa"/>
            <w:tcBorders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  <w:lang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/>
              </w:rPr>
              <w:t>99.1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left w:val="single" w:color="auto" w:sz="12" w:space="0"/>
            </w:tcBorders>
            <w:vAlign w:val="top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  <w:lang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/>
              </w:rPr>
              <w:t>02</w:t>
            </w:r>
          </w:p>
        </w:tc>
        <w:tc>
          <w:tcPr>
            <w:tcW w:w="2985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助   产</w:t>
            </w:r>
          </w:p>
        </w:tc>
        <w:tc>
          <w:tcPr>
            <w:tcW w:w="1119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  <w:lang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/>
              </w:rPr>
              <w:t>229</w:t>
            </w:r>
          </w:p>
        </w:tc>
        <w:tc>
          <w:tcPr>
            <w:tcW w:w="1107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  <w:lang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/>
              </w:rPr>
              <w:t>223</w:t>
            </w:r>
          </w:p>
        </w:tc>
        <w:tc>
          <w:tcPr>
            <w:tcW w:w="1531" w:type="dxa"/>
            <w:tcBorders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97.38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954" w:type="dxa"/>
            <w:tcBorders>
              <w:left w:val="single" w:color="auto" w:sz="12" w:space="0"/>
            </w:tcBorders>
            <w:vAlign w:val="top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  <w:lang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/>
              </w:rPr>
              <w:t>03</w:t>
            </w:r>
          </w:p>
        </w:tc>
        <w:tc>
          <w:tcPr>
            <w:tcW w:w="2985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临床医学</w:t>
            </w:r>
          </w:p>
        </w:tc>
        <w:tc>
          <w:tcPr>
            <w:tcW w:w="1119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  <w:lang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/>
              </w:rPr>
              <w:t>786</w:t>
            </w:r>
          </w:p>
        </w:tc>
        <w:tc>
          <w:tcPr>
            <w:tcW w:w="1107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  <w:lang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/>
              </w:rPr>
              <w:t>773</w:t>
            </w:r>
          </w:p>
        </w:tc>
        <w:tc>
          <w:tcPr>
            <w:tcW w:w="1531" w:type="dxa"/>
            <w:tcBorders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  <w:lang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/>
              </w:rPr>
              <w:t>98.35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left w:val="single" w:color="auto" w:sz="12" w:space="0"/>
            </w:tcBorders>
            <w:vAlign w:val="top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  <w:lang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/>
              </w:rPr>
              <w:t>04</w:t>
            </w:r>
          </w:p>
        </w:tc>
        <w:tc>
          <w:tcPr>
            <w:tcW w:w="2985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  <w:lang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口腔医学</w:t>
            </w:r>
          </w:p>
        </w:tc>
        <w:tc>
          <w:tcPr>
            <w:tcW w:w="1119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  <w:lang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/>
              </w:rPr>
              <w:t>259</w:t>
            </w:r>
          </w:p>
        </w:tc>
        <w:tc>
          <w:tcPr>
            <w:tcW w:w="1107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  <w:lang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/>
              </w:rPr>
              <w:t>259</w:t>
            </w:r>
          </w:p>
        </w:tc>
        <w:tc>
          <w:tcPr>
            <w:tcW w:w="1531" w:type="dxa"/>
            <w:tcBorders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  <w:lang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left w:val="single" w:color="auto" w:sz="12" w:space="0"/>
            </w:tcBorders>
            <w:vAlign w:val="top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  <w:lang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/>
              </w:rPr>
              <w:t>05</w:t>
            </w:r>
          </w:p>
        </w:tc>
        <w:tc>
          <w:tcPr>
            <w:tcW w:w="2985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中医学</w:t>
            </w:r>
          </w:p>
        </w:tc>
        <w:tc>
          <w:tcPr>
            <w:tcW w:w="1119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  <w:lang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/>
              </w:rPr>
              <w:t>171</w:t>
            </w:r>
          </w:p>
        </w:tc>
        <w:tc>
          <w:tcPr>
            <w:tcW w:w="1107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  <w:lang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/>
              </w:rPr>
              <w:t>159</w:t>
            </w:r>
          </w:p>
        </w:tc>
        <w:tc>
          <w:tcPr>
            <w:tcW w:w="1531" w:type="dxa"/>
            <w:tcBorders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92.98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left w:val="single" w:color="auto" w:sz="12" w:space="0"/>
            </w:tcBorders>
            <w:vAlign w:val="top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  <w:lang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/>
              </w:rPr>
              <w:t>06</w:t>
            </w:r>
          </w:p>
        </w:tc>
        <w:tc>
          <w:tcPr>
            <w:tcW w:w="2985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  <w:lang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药   学</w:t>
            </w:r>
          </w:p>
        </w:tc>
        <w:tc>
          <w:tcPr>
            <w:tcW w:w="1119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  <w:lang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/>
              </w:rPr>
              <w:t>258</w:t>
            </w:r>
          </w:p>
        </w:tc>
        <w:tc>
          <w:tcPr>
            <w:tcW w:w="1107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  <w:lang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/>
              </w:rPr>
              <w:t>252</w:t>
            </w:r>
          </w:p>
        </w:tc>
        <w:tc>
          <w:tcPr>
            <w:tcW w:w="1531" w:type="dxa"/>
            <w:tcBorders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  <w:lang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/>
              </w:rPr>
              <w:t>97.67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954" w:type="dxa"/>
            <w:tcBorders>
              <w:left w:val="single" w:color="auto" w:sz="12" w:space="0"/>
            </w:tcBorders>
            <w:vAlign w:val="top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  <w:lang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/>
              </w:rPr>
              <w:t>07</w:t>
            </w:r>
          </w:p>
        </w:tc>
        <w:tc>
          <w:tcPr>
            <w:tcW w:w="2985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  <w:lang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康复治疗技术</w:t>
            </w:r>
          </w:p>
        </w:tc>
        <w:tc>
          <w:tcPr>
            <w:tcW w:w="1119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  <w:lang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/>
              </w:rPr>
              <w:t>56</w:t>
            </w:r>
          </w:p>
        </w:tc>
        <w:tc>
          <w:tcPr>
            <w:tcW w:w="1107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  <w:lang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/>
              </w:rPr>
              <w:t>54</w:t>
            </w:r>
          </w:p>
        </w:tc>
        <w:tc>
          <w:tcPr>
            <w:tcW w:w="1531" w:type="dxa"/>
            <w:tcBorders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  <w:lang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/>
              </w:rPr>
              <w:t>96.43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left w:val="single" w:color="auto" w:sz="12" w:space="0"/>
            </w:tcBorders>
            <w:vAlign w:val="top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  <w:lang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/>
              </w:rPr>
              <w:t>08</w:t>
            </w:r>
          </w:p>
        </w:tc>
        <w:tc>
          <w:tcPr>
            <w:tcW w:w="2985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  <w:lang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医学检验技术</w:t>
            </w:r>
          </w:p>
        </w:tc>
        <w:tc>
          <w:tcPr>
            <w:tcW w:w="1119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  <w:lang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/>
              </w:rPr>
              <w:t>110</w:t>
            </w:r>
          </w:p>
        </w:tc>
        <w:tc>
          <w:tcPr>
            <w:tcW w:w="1107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  <w:lang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/>
              </w:rPr>
              <w:t>108</w:t>
            </w:r>
          </w:p>
        </w:tc>
        <w:tc>
          <w:tcPr>
            <w:tcW w:w="1531" w:type="dxa"/>
            <w:tcBorders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  <w:lang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/>
              </w:rPr>
              <w:t>98.18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left w:val="single" w:color="auto" w:sz="12" w:space="0"/>
            </w:tcBorders>
            <w:vAlign w:val="top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  <w:lang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/>
              </w:rPr>
              <w:t>09</w:t>
            </w:r>
          </w:p>
        </w:tc>
        <w:tc>
          <w:tcPr>
            <w:tcW w:w="2985" w:type="dxa"/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  <w:lang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/>
              </w:rPr>
              <w:t>医学影像技术</w:t>
            </w:r>
          </w:p>
        </w:tc>
        <w:tc>
          <w:tcPr>
            <w:tcW w:w="1119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  <w:lang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/>
              </w:rPr>
              <w:t>120</w:t>
            </w:r>
          </w:p>
        </w:tc>
        <w:tc>
          <w:tcPr>
            <w:tcW w:w="1107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  <w:lang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/>
              </w:rPr>
              <w:t>117</w:t>
            </w:r>
          </w:p>
        </w:tc>
        <w:tc>
          <w:tcPr>
            <w:tcW w:w="1531" w:type="dxa"/>
            <w:tcBorders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  <w:lang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/>
              </w:rPr>
              <w:t>97.5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left w:val="single" w:color="auto" w:sz="12" w:space="0"/>
              <w:bottom w:val="single" w:color="auto" w:sz="12" w:space="0"/>
            </w:tcBorders>
            <w:vAlign w:val="top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  <w:lang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/>
              </w:rPr>
              <w:t>10</w:t>
            </w:r>
          </w:p>
        </w:tc>
        <w:tc>
          <w:tcPr>
            <w:tcW w:w="2985" w:type="dxa"/>
            <w:tcBorders>
              <w:bottom w:val="single" w:color="auto" w:sz="12" w:space="0"/>
            </w:tcBorders>
            <w:vAlign w:val="top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  <w:lang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/>
              </w:rPr>
              <w:t>医药营销</w:t>
            </w:r>
          </w:p>
        </w:tc>
        <w:tc>
          <w:tcPr>
            <w:tcW w:w="1119" w:type="dxa"/>
            <w:tcBorders>
              <w:bottom w:val="single" w:color="auto" w:sz="12" w:space="0"/>
            </w:tcBorders>
            <w:vAlign w:val="top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  <w:lang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/>
              </w:rPr>
              <w:t>53</w:t>
            </w:r>
          </w:p>
        </w:tc>
        <w:tc>
          <w:tcPr>
            <w:tcW w:w="1107" w:type="dxa"/>
            <w:tcBorders>
              <w:bottom w:val="single" w:color="auto" w:sz="12" w:space="0"/>
            </w:tcBorders>
            <w:vAlign w:val="top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  <w:lang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/>
              </w:rPr>
              <w:t>53</w:t>
            </w:r>
          </w:p>
        </w:tc>
        <w:tc>
          <w:tcPr>
            <w:tcW w:w="1531" w:type="dxa"/>
            <w:tcBorders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  <w:lang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/>
              </w:rPr>
              <w:t>100</w:t>
            </w:r>
          </w:p>
        </w:tc>
      </w:tr>
    </w:tbl>
    <w:p>
      <w:pPr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  <w:lang/>
        </w:rPr>
      </w:pPr>
      <w:r>
        <w:rPr>
          <w:rFonts w:hint="eastAsia" w:ascii="仿宋_GB2312" w:hAnsi="仿宋" w:eastAsia="仿宋_GB2312"/>
          <w:sz w:val="32"/>
          <w:szCs w:val="32"/>
          <w:lang/>
        </w:rPr>
        <w:t>未落实就业单位的毕业生中主要有以下几种情况：准备报考公务员、暂时不准备工作、暂时未能找到满意的工作等。</w:t>
      </w:r>
    </w:p>
    <w:p>
      <w:pPr>
        <w:pStyle w:val="8"/>
        <w:widowControl w:val="0"/>
        <w:autoSpaceDE w:val="0"/>
        <w:autoSpaceDN w:val="0"/>
        <w:adjustRightInd w:val="0"/>
        <w:spacing w:before="0" w:after="0" w:line="360" w:lineRule="auto"/>
        <w:jc w:val="left"/>
        <w:rPr>
          <w:rFonts w:ascii="仿宋_GB2312" w:hAnsi="仿宋" w:eastAsia="仿宋_GB2312" w:cs="DBHNLE+ËÎÌå"/>
          <w:color w:val="000000"/>
          <w:sz w:val="32"/>
          <w:szCs w:val="32"/>
          <w:lang w:eastAsia="zh-CN"/>
        </w:rPr>
      </w:pPr>
    </w:p>
    <w:p>
      <w:pPr>
        <w:pStyle w:val="8"/>
        <w:widowControl w:val="0"/>
        <w:autoSpaceDE w:val="0"/>
        <w:autoSpaceDN w:val="0"/>
        <w:adjustRightInd w:val="0"/>
        <w:spacing w:before="0" w:after="0" w:line="360" w:lineRule="auto"/>
        <w:ind w:firstLine="640" w:firstLineChars="200"/>
        <w:jc w:val="left"/>
        <w:rPr>
          <w:rFonts w:ascii="仿宋_GB2312" w:hAnsi="仿宋" w:eastAsia="仿宋_GB2312" w:cs="DBHNLE+ËÎÌå"/>
          <w:b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 w:cs="DBHNLE+ËÎÌå"/>
          <w:b/>
          <w:color w:val="000000"/>
          <w:sz w:val="32"/>
          <w:szCs w:val="32"/>
          <w:lang w:eastAsia="zh-CN"/>
        </w:rPr>
        <w:t>第二部分 针对</w:t>
      </w:r>
      <w:r>
        <w:rPr>
          <w:rFonts w:hint="eastAsia" w:ascii="仿宋_GB2312" w:hAnsi="仿宋" w:eastAsia="仿宋_GB2312"/>
          <w:b/>
          <w:color w:val="000000"/>
          <w:sz w:val="32"/>
          <w:szCs w:val="32"/>
          <w:lang w:eastAsia="zh-CN"/>
        </w:rPr>
        <w:t>2014</w:t>
      </w:r>
      <w:r>
        <w:rPr>
          <w:rFonts w:hint="eastAsia" w:ascii="仿宋_GB2312" w:hAnsi="仿宋" w:eastAsia="仿宋_GB2312" w:cs="DBHNLE+ËÎÌå"/>
          <w:b/>
          <w:color w:val="000000"/>
          <w:sz w:val="32"/>
          <w:szCs w:val="32"/>
          <w:lang w:eastAsia="zh-CN"/>
        </w:rPr>
        <w:t>届毕业生就业开展的主要工作</w:t>
      </w:r>
    </w:p>
    <w:p>
      <w:pPr>
        <w:spacing w:line="360" w:lineRule="auto"/>
        <w:rPr>
          <w:rFonts w:ascii="仿宋_GB2312" w:hAnsi="仿宋" w:eastAsia="仿宋_GB2312"/>
          <w:sz w:val="32"/>
          <w:szCs w:val="32"/>
          <w:lang/>
        </w:rPr>
      </w:pPr>
    </w:p>
    <w:p>
      <w:pPr>
        <w:pStyle w:val="8"/>
        <w:widowControl w:val="0"/>
        <w:autoSpaceDE w:val="0"/>
        <w:autoSpaceDN w:val="0"/>
        <w:adjustRightInd w:val="0"/>
        <w:spacing w:before="0" w:after="0" w:line="360" w:lineRule="auto"/>
        <w:ind w:firstLine="640" w:firstLineChars="200"/>
        <w:jc w:val="left"/>
        <w:rPr>
          <w:rFonts w:ascii="仿宋_GB2312" w:hAnsi="仿宋" w:eastAsia="仿宋_GB2312" w:cs="DBHNLE+ËÎÌå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 w:cs="DBHNLE+ËÎÌå"/>
          <w:color w:val="000000"/>
          <w:sz w:val="32"/>
          <w:szCs w:val="32"/>
          <w:lang w:eastAsia="zh-CN"/>
        </w:rPr>
        <w:t xml:space="preserve">校领导重视学生就业工作，认真贯彻落实党中央、国务院、教育部及广东省有关促进大学毕业生就业的有关政策，学校把就业工作列入重要议事日程，切实落实“一把手”工程，将学生就业工作列入学校“十二五”规划，写入教代会工作报告，建立就业对人才培养的反馈机制，将就业工作融入人才培养全过程和学校中心工作。针对 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2014</w:t>
      </w:r>
      <w:r>
        <w:rPr>
          <w:rFonts w:hint="eastAsia" w:ascii="仿宋_GB2312" w:hAnsi="仿宋" w:eastAsia="仿宋_GB2312" w:cs="DBHNLE+ËÎÌå"/>
          <w:color w:val="000000"/>
          <w:sz w:val="32"/>
          <w:szCs w:val="32"/>
          <w:lang w:eastAsia="zh-CN"/>
        </w:rPr>
        <w:t>届毕业生就业工作，学校召开全校就业工作会议，总结上一年的毕业生的</w:t>
      </w:r>
      <w:bookmarkStart w:id="0" w:name="_GoBack"/>
      <w:bookmarkEnd w:id="0"/>
      <w:r>
        <w:rPr>
          <w:rFonts w:hint="eastAsia" w:ascii="仿宋_GB2312" w:hAnsi="仿宋" w:eastAsia="仿宋_GB2312" w:cs="DBHNLE+ËÎÌå"/>
          <w:color w:val="000000"/>
          <w:sz w:val="32"/>
          <w:szCs w:val="32"/>
          <w:lang w:eastAsia="zh-CN"/>
        </w:rPr>
        <w:t>就业工作并全面布置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2014</w:t>
      </w:r>
      <w:r>
        <w:rPr>
          <w:rFonts w:hint="eastAsia" w:ascii="仿宋_GB2312" w:hAnsi="仿宋" w:eastAsia="仿宋_GB2312" w:cs="DBHNLE+ËÎÌå"/>
          <w:color w:val="000000"/>
          <w:sz w:val="32"/>
          <w:szCs w:val="32"/>
          <w:lang w:eastAsia="zh-CN"/>
        </w:rPr>
        <w:t>届毕业生就业工作。</w:t>
      </w:r>
    </w:p>
    <w:p>
      <w:pPr>
        <w:pStyle w:val="8"/>
        <w:widowControl w:val="0"/>
        <w:autoSpaceDE w:val="0"/>
        <w:autoSpaceDN w:val="0"/>
        <w:adjustRightInd w:val="0"/>
        <w:spacing w:before="0" w:after="0" w:line="360" w:lineRule="auto"/>
        <w:jc w:val="left"/>
        <w:rPr>
          <w:rFonts w:ascii="仿宋_GB2312" w:hAnsi="仿宋" w:eastAsia="仿宋_GB2312" w:cs="DBHNLE+ËÎÌå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 w:cs="DBHNLE+ËÎÌå"/>
          <w:color w:val="000000"/>
          <w:sz w:val="32"/>
          <w:szCs w:val="32"/>
          <w:lang w:eastAsia="zh-CN"/>
        </w:rPr>
        <w:t>一、落实就业工作激励机制</w:t>
      </w:r>
    </w:p>
    <w:p>
      <w:pPr>
        <w:pStyle w:val="8"/>
        <w:widowControl w:val="0"/>
        <w:autoSpaceDE w:val="0"/>
        <w:autoSpaceDN w:val="0"/>
        <w:adjustRightInd w:val="0"/>
        <w:spacing w:before="0" w:after="0" w:line="360" w:lineRule="auto"/>
        <w:ind w:firstLine="640" w:firstLineChars="200"/>
        <w:jc w:val="left"/>
        <w:rPr>
          <w:rFonts w:hint="eastAsia" w:ascii="仿宋_GB2312" w:hAnsi="仿宋" w:eastAsia="仿宋_GB2312" w:cs="DBHNLE+ËÎÌå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 w:cs="DBHNLE+ËÎÌå"/>
          <w:color w:val="000000"/>
          <w:sz w:val="32"/>
          <w:szCs w:val="32"/>
          <w:lang w:val="en-US" w:eastAsia="zh-CN"/>
        </w:rPr>
        <w:t>1、</w:t>
      </w:r>
      <w:r>
        <w:rPr>
          <w:rFonts w:hint="eastAsia" w:ascii="仿宋_GB2312" w:hAnsi="仿宋" w:eastAsia="仿宋_GB2312" w:cs="DBHNLE+ËÎÌå"/>
          <w:color w:val="000000"/>
          <w:sz w:val="32"/>
          <w:szCs w:val="32"/>
          <w:lang w:eastAsia="zh-CN"/>
        </w:rPr>
        <w:t>2014年我校对各系的就业工作进行督查，以评促建；充分调动学校职能部门各处系（部）学生工作队伍和广大教师的积极性，形成全校“一盘棋”的就业工作格局。</w:t>
      </w:r>
    </w:p>
    <w:p>
      <w:pPr>
        <w:pStyle w:val="8"/>
        <w:widowControl w:val="0"/>
        <w:autoSpaceDE w:val="0"/>
        <w:autoSpaceDN w:val="0"/>
        <w:adjustRightInd w:val="0"/>
        <w:spacing w:before="0" w:after="0" w:line="360" w:lineRule="auto"/>
        <w:ind w:firstLine="640" w:firstLineChars="200"/>
        <w:jc w:val="left"/>
        <w:rPr>
          <w:rFonts w:hint="eastAsia" w:ascii="仿宋_GB2312" w:hAnsi="仿宋" w:eastAsia="仿宋_GB2312" w:cs="DBHNLE+ËÎÌå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DBHNLE+ËÎÌå"/>
          <w:color w:val="000000"/>
          <w:sz w:val="32"/>
          <w:szCs w:val="32"/>
          <w:lang w:val="en-US" w:eastAsia="zh-CN"/>
        </w:rPr>
        <w:t>2、根据国家政策，我校对符合就业困难的学生进行补助，受益的就业困难学生共9人。</w:t>
      </w:r>
    </w:p>
    <w:p>
      <w:pPr>
        <w:pStyle w:val="8"/>
        <w:widowControl w:val="0"/>
        <w:autoSpaceDE w:val="0"/>
        <w:autoSpaceDN w:val="0"/>
        <w:adjustRightInd w:val="0"/>
        <w:spacing w:before="0" w:after="0" w:line="360" w:lineRule="auto"/>
        <w:jc w:val="left"/>
        <w:rPr>
          <w:rFonts w:ascii="仿宋_GB2312" w:hAnsi="仿宋" w:eastAsia="仿宋_GB2312" w:cs="DBHNLE+ËÎÌå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 w:cs="DBHNLE+ËÎÌå"/>
          <w:color w:val="000000"/>
          <w:sz w:val="32"/>
          <w:szCs w:val="32"/>
          <w:lang w:eastAsia="zh-CN"/>
        </w:rPr>
        <w:t>二、开拓毕业生就业市场和渠道</w:t>
      </w:r>
    </w:p>
    <w:p>
      <w:pPr>
        <w:pStyle w:val="8"/>
        <w:widowControl w:val="0"/>
        <w:autoSpaceDE w:val="0"/>
        <w:autoSpaceDN w:val="0"/>
        <w:adjustRightInd w:val="0"/>
        <w:spacing w:before="0" w:after="0" w:line="360" w:lineRule="auto"/>
        <w:ind w:firstLine="640" w:firstLineChars="200"/>
        <w:jc w:val="left"/>
        <w:rPr>
          <w:rFonts w:ascii="仿宋_GB2312" w:hAnsi="仿宋" w:eastAsia="仿宋_GB2312" w:cs="EIOCVU+ËÎÌå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积极发挥校园就业市场的主渠道和基础作用，组织多种形式的校园招聘</w:t>
      </w:r>
      <w:r>
        <w:rPr>
          <w:rFonts w:hint="eastAsia" w:ascii="仿宋_GB2312" w:hAnsi="仿宋" w:eastAsia="仿宋_GB2312" w:cs="EIOCVU+ËÎÌå"/>
          <w:color w:val="000000"/>
          <w:sz w:val="32"/>
          <w:szCs w:val="32"/>
          <w:lang w:eastAsia="zh-CN"/>
        </w:rPr>
        <w:t>活动。在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2014</w:t>
      </w:r>
      <w:r>
        <w:rPr>
          <w:rFonts w:hint="eastAsia" w:ascii="仿宋_GB2312" w:hAnsi="仿宋" w:eastAsia="仿宋_GB2312" w:cs="EIOCVU+ËÎÌå"/>
          <w:color w:val="000000"/>
          <w:sz w:val="32"/>
          <w:szCs w:val="32"/>
          <w:lang w:eastAsia="zh-CN"/>
        </w:rPr>
        <w:t>年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01</w:t>
      </w:r>
      <w:r>
        <w:rPr>
          <w:rFonts w:hint="eastAsia" w:ascii="仿宋_GB2312" w:hAnsi="仿宋" w:eastAsia="仿宋_GB2312" w:cs="EIOCVU+ËÎÌå"/>
          <w:color w:val="000000"/>
          <w:sz w:val="32"/>
          <w:szCs w:val="32"/>
          <w:lang w:eastAsia="zh-CN"/>
        </w:rPr>
        <w:t>月、03月和04月，与肇庆市人才服务中心一起分别举办了三场大型供需见面会，并在大型供需见面会中设立地方政府招聘专区，取得较好的效果。</w:t>
      </w:r>
    </w:p>
    <w:p>
      <w:pPr>
        <w:pStyle w:val="9"/>
        <w:widowControl w:val="0"/>
        <w:autoSpaceDE w:val="0"/>
        <w:autoSpaceDN w:val="0"/>
        <w:adjustRightInd w:val="0"/>
        <w:spacing w:before="0" w:after="0" w:line="360" w:lineRule="auto"/>
        <w:ind w:firstLine="640" w:firstLineChars="200"/>
        <w:jc w:val="left"/>
        <w:rPr>
          <w:rFonts w:ascii="仿宋_GB2312" w:hAnsi="仿宋" w:eastAsia="仿宋_GB2312" w:cs="EIOCVU+ËÎÌå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 w:cs="EIOCVU+ËÎÌå"/>
          <w:color w:val="000000"/>
          <w:sz w:val="32"/>
          <w:szCs w:val="32"/>
          <w:lang w:eastAsia="zh-CN"/>
        </w:rPr>
        <w:t>建立了我校与地方政府、人社部门的沟通与协调机制，为毕业生建立“就业绿色通道”，为提高毕业生就业质量和满意度打下了良好的基础。主动走出校园走访各地用人单位，并组织毕业生前往相关用人单位参观交流，鼓励毕业生多渠道多形式就业，积极引导毕业生到城乡基层和艰苦边远地区就业。</w:t>
      </w:r>
    </w:p>
    <w:p>
      <w:pPr>
        <w:pStyle w:val="9"/>
        <w:widowControl w:val="0"/>
        <w:autoSpaceDE w:val="0"/>
        <w:autoSpaceDN w:val="0"/>
        <w:adjustRightInd w:val="0"/>
        <w:spacing w:before="0" w:after="0" w:line="360" w:lineRule="auto"/>
        <w:ind w:firstLine="640" w:firstLineChars="200"/>
        <w:jc w:val="left"/>
        <w:rPr>
          <w:rFonts w:ascii="仿宋_GB2312" w:hAnsi="仿宋" w:eastAsia="仿宋_GB2312" w:cs="EIOCVU+ËÎÌå"/>
          <w:color w:val="000000"/>
          <w:sz w:val="32"/>
          <w:szCs w:val="32"/>
          <w:lang w:eastAsia="zh-CN"/>
        </w:rPr>
      </w:pPr>
    </w:p>
    <w:p>
      <w:pPr>
        <w:pStyle w:val="9"/>
        <w:widowControl w:val="0"/>
        <w:autoSpaceDE w:val="0"/>
        <w:autoSpaceDN w:val="0"/>
        <w:adjustRightInd w:val="0"/>
        <w:spacing w:before="0" w:after="0" w:line="360" w:lineRule="auto"/>
        <w:ind w:firstLine="640" w:firstLineChars="200"/>
        <w:jc w:val="center"/>
        <w:rPr>
          <w:rFonts w:ascii="仿宋_GB2312" w:hAnsi="仿宋" w:eastAsia="仿宋_GB2312" w:cs="EIOCVU+ËÎÌå"/>
          <w:b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 w:cs="EIOCVU+ËÎÌå"/>
          <w:b/>
          <w:color w:val="000000"/>
          <w:sz w:val="32"/>
          <w:szCs w:val="32"/>
          <w:lang w:eastAsia="zh-CN"/>
        </w:rPr>
        <w:t>第三部分 2014届毕业生就业特点</w:t>
      </w:r>
    </w:p>
    <w:p>
      <w:pPr>
        <w:rPr>
          <w:rFonts w:ascii="仿宋_GB2312" w:eastAsia="仿宋_GB2312"/>
          <w:sz w:val="28"/>
          <w:szCs w:val="28"/>
        </w:rPr>
      </w:pP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毕业生总体就业状况的统计分析包括就业单位类型、就业区域流向及专业对口率。见表</w:t>
      </w:r>
      <w:r>
        <w:rPr>
          <w:rFonts w:hint="eastAsia" w:ascii="仿宋_GB2312" w:hAnsi="仿宋" w:eastAsia="仿宋_GB2312"/>
          <w:sz w:val="40"/>
          <w:szCs w:val="32"/>
          <w:vertAlign w:val="subscript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，表</w:t>
      </w:r>
      <w:r>
        <w:rPr>
          <w:rFonts w:hint="eastAsia" w:ascii="仿宋_GB2312" w:hAnsi="仿宋" w:eastAsia="仿宋_GB2312"/>
          <w:sz w:val="40"/>
          <w:szCs w:val="32"/>
          <w:vertAlign w:val="subscript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表</w:t>
      </w:r>
      <w:r>
        <w:rPr>
          <w:rFonts w:hint="eastAsia" w:ascii="仿宋_GB2312" w:eastAsia="仿宋_GB2312"/>
          <w:sz w:val="36"/>
          <w:szCs w:val="28"/>
          <w:vertAlign w:val="subscript"/>
        </w:rPr>
        <w:t>2</w:t>
      </w:r>
    </w:p>
    <w:tbl>
      <w:tblPr>
        <w:tblStyle w:val="6"/>
        <w:tblW w:w="90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835"/>
        <w:gridCol w:w="1418"/>
        <w:gridCol w:w="1417"/>
        <w:gridCol w:w="1134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序号</w:t>
            </w:r>
          </w:p>
        </w:tc>
        <w:tc>
          <w:tcPr>
            <w:tcW w:w="2835" w:type="dxa"/>
            <w:tcBorders>
              <w:top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专  业</w:t>
            </w:r>
          </w:p>
        </w:tc>
        <w:tc>
          <w:tcPr>
            <w:tcW w:w="1418" w:type="dxa"/>
            <w:tcBorders>
              <w:top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pacing w:val="-20"/>
              </w:rPr>
            </w:pPr>
            <w:r>
              <w:rPr>
                <w:rFonts w:hint="eastAsia" w:ascii="仿宋_GB2312" w:hAnsi="仿宋" w:eastAsia="仿宋_GB2312"/>
                <w:spacing w:val="-20"/>
              </w:rPr>
              <w:t>三级以上医疗单位就业人数</w:t>
            </w:r>
          </w:p>
        </w:tc>
        <w:tc>
          <w:tcPr>
            <w:tcW w:w="1417" w:type="dxa"/>
            <w:tcBorders>
              <w:top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pacing w:val="-20"/>
              </w:rPr>
            </w:pPr>
            <w:r>
              <w:rPr>
                <w:rFonts w:hint="eastAsia" w:ascii="仿宋_GB2312" w:hAnsi="仿宋" w:eastAsia="仿宋_GB2312"/>
                <w:spacing w:val="-20"/>
              </w:rPr>
              <w:t>二甲以下医疗单位就业人数</w:t>
            </w: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pacing w:val="-20"/>
              </w:rPr>
            </w:pPr>
            <w:r>
              <w:rPr>
                <w:rFonts w:hint="eastAsia" w:ascii="仿宋_GB2312" w:hAnsi="仿宋" w:eastAsia="仿宋_GB2312"/>
                <w:spacing w:val="-20"/>
              </w:rPr>
              <w:t>其他</w:t>
            </w:r>
          </w:p>
        </w:tc>
        <w:tc>
          <w:tcPr>
            <w:tcW w:w="1417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Cs w:val="28"/>
              </w:rPr>
            </w:pPr>
            <w:r>
              <w:rPr>
                <w:rFonts w:hint="eastAsia" w:ascii="仿宋_GB2312" w:hAnsi="仿宋" w:eastAsia="仿宋_GB2312"/>
                <w:szCs w:val="28"/>
              </w:rPr>
              <w:t>专业对</w:t>
            </w:r>
          </w:p>
          <w:p>
            <w:pPr>
              <w:spacing w:line="440" w:lineRule="exact"/>
              <w:jc w:val="center"/>
              <w:rPr>
                <w:rFonts w:ascii="仿宋_GB2312" w:hAnsi="仿宋" w:eastAsia="仿宋_GB2312"/>
                <w:szCs w:val="28"/>
              </w:rPr>
            </w:pPr>
            <w:r>
              <w:rPr>
                <w:rFonts w:hint="eastAsia" w:ascii="仿宋_GB2312" w:hAnsi="仿宋" w:eastAsia="仿宋_GB2312"/>
                <w:szCs w:val="28"/>
              </w:rPr>
              <w:t>口率（%）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left w:val="single" w:color="auto" w:sz="12" w:space="0"/>
            </w:tcBorders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01</w:t>
            </w:r>
          </w:p>
        </w:tc>
        <w:tc>
          <w:tcPr>
            <w:tcW w:w="2835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  <w:lang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护   理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582</w:t>
            </w:r>
          </w:p>
        </w:tc>
        <w:tc>
          <w:tcPr>
            <w:tcW w:w="1417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315</w:t>
            </w:r>
          </w:p>
        </w:tc>
        <w:tc>
          <w:tcPr>
            <w:tcW w:w="1134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85</w:t>
            </w:r>
          </w:p>
        </w:tc>
        <w:tc>
          <w:tcPr>
            <w:tcW w:w="1417" w:type="dxa"/>
            <w:tcBorders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91.6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left w:val="single" w:color="auto" w:sz="12" w:space="0"/>
            </w:tcBorders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02</w:t>
            </w:r>
          </w:p>
        </w:tc>
        <w:tc>
          <w:tcPr>
            <w:tcW w:w="2835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助   产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108</w:t>
            </w:r>
          </w:p>
        </w:tc>
        <w:tc>
          <w:tcPr>
            <w:tcW w:w="1417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98</w:t>
            </w:r>
          </w:p>
        </w:tc>
        <w:tc>
          <w:tcPr>
            <w:tcW w:w="1134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19</w:t>
            </w:r>
          </w:p>
        </w:tc>
        <w:tc>
          <w:tcPr>
            <w:tcW w:w="1417" w:type="dxa"/>
            <w:tcBorders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89.08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17" w:type="dxa"/>
            <w:tcBorders>
              <w:left w:val="single" w:color="auto" w:sz="12" w:space="0"/>
            </w:tcBorders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03</w:t>
            </w:r>
          </w:p>
        </w:tc>
        <w:tc>
          <w:tcPr>
            <w:tcW w:w="2835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临床医学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48</w:t>
            </w:r>
          </w:p>
        </w:tc>
        <w:tc>
          <w:tcPr>
            <w:tcW w:w="1417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649</w:t>
            </w:r>
          </w:p>
        </w:tc>
        <w:tc>
          <w:tcPr>
            <w:tcW w:w="1134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76</w:t>
            </w:r>
          </w:p>
        </w:tc>
        <w:tc>
          <w:tcPr>
            <w:tcW w:w="1417" w:type="dxa"/>
            <w:tcBorders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88.68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left w:val="single" w:color="auto" w:sz="12" w:space="0"/>
            </w:tcBorders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04</w:t>
            </w:r>
          </w:p>
        </w:tc>
        <w:tc>
          <w:tcPr>
            <w:tcW w:w="2835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  <w:lang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口腔医学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5</w:t>
            </w:r>
          </w:p>
        </w:tc>
        <w:tc>
          <w:tcPr>
            <w:tcW w:w="1417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  <w:lang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/>
              </w:rPr>
              <w:t>245</w:t>
            </w:r>
          </w:p>
        </w:tc>
        <w:tc>
          <w:tcPr>
            <w:tcW w:w="1134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9</w:t>
            </w:r>
          </w:p>
        </w:tc>
        <w:tc>
          <w:tcPr>
            <w:tcW w:w="1417" w:type="dxa"/>
            <w:tcBorders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96.53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left w:val="single" w:color="auto" w:sz="12" w:space="0"/>
            </w:tcBorders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05</w:t>
            </w:r>
          </w:p>
        </w:tc>
        <w:tc>
          <w:tcPr>
            <w:tcW w:w="2835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中医学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9</w:t>
            </w:r>
          </w:p>
        </w:tc>
        <w:tc>
          <w:tcPr>
            <w:tcW w:w="1417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  <w:lang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/>
              </w:rPr>
              <w:t>133</w:t>
            </w:r>
          </w:p>
        </w:tc>
        <w:tc>
          <w:tcPr>
            <w:tcW w:w="1134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17</w:t>
            </w:r>
          </w:p>
        </w:tc>
        <w:tc>
          <w:tcPr>
            <w:tcW w:w="1417" w:type="dxa"/>
            <w:tcBorders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83.04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left w:val="single" w:color="auto" w:sz="12" w:space="0"/>
            </w:tcBorders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06</w:t>
            </w:r>
          </w:p>
        </w:tc>
        <w:tc>
          <w:tcPr>
            <w:tcW w:w="2835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  <w:lang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药   学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15</w:t>
            </w:r>
          </w:p>
        </w:tc>
        <w:tc>
          <w:tcPr>
            <w:tcW w:w="1417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195</w:t>
            </w:r>
          </w:p>
        </w:tc>
        <w:tc>
          <w:tcPr>
            <w:tcW w:w="1134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42</w:t>
            </w:r>
          </w:p>
        </w:tc>
        <w:tc>
          <w:tcPr>
            <w:tcW w:w="1417" w:type="dxa"/>
            <w:tcBorders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81.4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17" w:type="dxa"/>
            <w:tcBorders>
              <w:left w:val="single" w:color="auto" w:sz="12" w:space="0"/>
            </w:tcBorders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07</w:t>
            </w:r>
          </w:p>
        </w:tc>
        <w:tc>
          <w:tcPr>
            <w:tcW w:w="2835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康复治疗技术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12</w:t>
            </w:r>
          </w:p>
        </w:tc>
        <w:tc>
          <w:tcPr>
            <w:tcW w:w="1417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39</w:t>
            </w:r>
          </w:p>
        </w:tc>
        <w:tc>
          <w:tcPr>
            <w:tcW w:w="1134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91.07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left w:val="single" w:color="auto" w:sz="12" w:space="0"/>
            </w:tcBorders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08</w:t>
            </w:r>
          </w:p>
        </w:tc>
        <w:tc>
          <w:tcPr>
            <w:tcW w:w="2835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医学检验技术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13</w:t>
            </w:r>
          </w:p>
        </w:tc>
        <w:tc>
          <w:tcPr>
            <w:tcW w:w="1417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87</w:t>
            </w:r>
          </w:p>
        </w:tc>
        <w:tc>
          <w:tcPr>
            <w:tcW w:w="1134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90.91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left w:val="single" w:color="auto" w:sz="12" w:space="0"/>
            </w:tcBorders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09</w:t>
            </w:r>
          </w:p>
        </w:tc>
        <w:tc>
          <w:tcPr>
            <w:tcW w:w="2835" w:type="dxa"/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医学影像技术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33</w:t>
            </w:r>
          </w:p>
        </w:tc>
        <w:tc>
          <w:tcPr>
            <w:tcW w:w="1417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79</w:t>
            </w:r>
          </w:p>
        </w:tc>
        <w:tc>
          <w:tcPr>
            <w:tcW w:w="1134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93.33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left w:val="single" w:color="auto" w:sz="12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10</w:t>
            </w:r>
          </w:p>
        </w:tc>
        <w:tc>
          <w:tcPr>
            <w:tcW w:w="2835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医药营销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49</w:t>
            </w:r>
          </w:p>
        </w:tc>
        <w:tc>
          <w:tcPr>
            <w:tcW w:w="1134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92.45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17" w:type="dxa"/>
            <w:tcBorders>
              <w:left w:val="single" w:color="auto" w:sz="12" w:space="0"/>
              <w:bottom w:val="single" w:color="auto" w:sz="12" w:space="0"/>
            </w:tcBorders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tcBorders>
              <w:bottom w:val="single" w:color="auto" w:sz="12" w:space="0"/>
            </w:tcBorders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就业总对口率</w:t>
            </w:r>
          </w:p>
        </w:tc>
        <w:tc>
          <w:tcPr>
            <w:tcW w:w="1417" w:type="dxa"/>
            <w:tcBorders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89.50</w:t>
            </w:r>
          </w:p>
        </w:tc>
      </w:tr>
    </w:tbl>
    <w:p>
      <w:pPr>
        <w:ind w:firstLine="560" w:firstLineChars="200"/>
        <w:rPr>
          <w:rFonts w:ascii="仿宋_GB2312" w:hAnsi="仿宋" w:eastAsia="仿宋_GB2312"/>
          <w:sz w:val="28"/>
          <w:szCs w:val="28"/>
          <w:vertAlign w:val="subscript"/>
        </w:rPr>
      </w:pPr>
      <w:r>
        <w:rPr>
          <w:rFonts w:hint="eastAsia" w:ascii="仿宋_GB2312" w:hAnsi="仿宋" w:eastAsia="仿宋_GB2312"/>
          <w:sz w:val="28"/>
          <w:szCs w:val="28"/>
        </w:rPr>
        <w:t>表</w:t>
      </w:r>
      <w:r>
        <w:rPr>
          <w:rFonts w:hint="eastAsia" w:ascii="仿宋_GB2312" w:hAnsi="仿宋" w:eastAsia="仿宋_GB2312"/>
          <w:sz w:val="36"/>
          <w:szCs w:val="28"/>
          <w:vertAlign w:val="subscript"/>
        </w:rPr>
        <w:t>3</w:t>
      </w:r>
    </w:p>
    <w:tbl>
      <w:tblPr>
        <w:tblStyle w:val="6"/>
        <w:tblW w:w="72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85"/>
        <w:gridCol w:w="1812"/>
        <w:gridCol w:w="1448"/>
        <w:gridCol w:w="1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17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序号</w:t>
            </w:r>
          </w:p>
        </w:tc>
        <w:tc>
          <w:tcPr>
            <w:tcW w:w="1985" w:type="dxa"/>
            <w:tcBorders>
              <w:top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专业</w:t>
            </w:r>
          </w:p>
        </w:tc>
        <w:tc>
          <w:tcPr>
            <w:tcW w:w="1812" w:type="dxa"/>
            <w:tcBorders>
              <w:top w:val="single" w:color="auto" w:sz="12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珠三角地 </w:t>
            </w:r>
          </w:p>
          <w:p>
            <w:pPr>
              <w:spacing w:line="4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区就业人数</w:t>
            </w:r>
          </w:p>
        </w:tc>
        <w:tc>
          <w:tcPr>
            <w:tcW w:w="1448" w:type="dxa"/>
            <w:tcBorders>
              <w:top w:val="single" w:color="auto" w:sz="12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pacing w:val="-20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本地区就业人数</w:t>
            </w:r>
          </w:p>
        </w:tc>
        <w:tc>
          <w:tcPr>
            <w:tcW w:w="1201" w:type="dxa"/>
            <w:tcBorders>
              <w:top w:val="single" w:color="auto" w:sz="12" w:space="0"/>
              <w:right w:val="single" w:color="auto" w:sz="12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tcBorders>
              <w:left w:val="single" w:color="auto" w:sz="12" w:space="0"/>
            </w:tcBorders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01</w:t>
            </w:r>
          </w:p>
        </w:tc>
        <w:tc>
          <w:tcPr>
            <w:tcW w:w="1985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护   理</w:t>
            </w:r>
          </w:p>
        </w:tc>
        <w:tc>
          <w:tcPr>
            <w:tcW w:w="1812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  <w:lang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/>
              </w:rPr>
              <w:t>630</w:t>
            </w:r>
          </w:p>
        </w:tc>
        <w:tc>
          <w:tcPr>
            <w:tcW w:w="1448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126</w:t>
            </w:r>
          </w:p>
        </w:tc>
        <w:tc>
          <w:tcPr>
            <w:tcW w:w="1201" w:type="dxa"/>
            <w:tcBorders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tcBorders>
              <w:left w:val="single" w:color="auto" w:sz="12" w:space="0"/>
            </w:tcBorders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02</w:t>
            </w:r>
          </w:p>
        </w:tc>
        <w:tc>
          <w:tcPr>
            <w:tcW w:w="1985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助   产</w:t>
            </w:r>
          </w:p>
        </w:tc>
        <w:tc>
          <w:tcPr>
            <w:tcW w:w="1812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  <w:lang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/>
              </w:rPr>
              <w:t>158</w:t>
            </w:r>
          </w:p>
        </w:tc>
        <w:tc>
          <w:tcPr>
            <w:tcW w:w="1448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21</w:t>
            </w:r>
          </w:p>
        </w:tc>
        <w:tc>
          <w:tcPr>
            <w:tcW w:w="1201" w:type="dxa"/>
            <w:tcBorders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tcBorders>
              <w:left w:val="single" w:color="auto" w:sz="12" w:space="0"/>
            </w:tcBorders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03</w:t>
            </w:r>
          </w:p>
        </w:tc>
        <w:tc>
          <w:tcPr>
            <w:tcW w:w="1985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临床医学</w:t>
            </w:r>
          </w:p>
        </w:tc>
        <w:tc>
          <w:tcPr>
            <w:tcW w:w="1812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366</w:t>
            </w:r>
          </w:p>
        </w:tc>
        <w:tc>
          <w:tcPr>
            <w:tcW w:w="1448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120</w:t>
            </w:r>
          </w:p>
        </w:tc>
        <w:tc>
          <w:tcPr>
            <w:tcW w:w="1201" w:type="dxa"/>
            <w:tcBorders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tcBorders>
              <w:left w:val="single" w:color="auto" w:sz="12" w:space="0"/>
            </w:tcBorders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04</w:t>
            </w:r>
          </w:p>
        </w:tc>
        <w:tc>
          <w:tcPr>
            <w:tcW w:w="1985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口腔医学</w:t>
            </w:r>
          </w:p>
        </w:tc>
        <w:tc>
          <w:tcPr>
            <w:tcW w:w="1812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  <w:lang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/>
              </w:rPr>
              <w:t>185</w:t>
            </w:r>
          </w:p>
        </w:tc>
        <w:tc>
          <w:tcPr>
            <w:tcW w:w="1448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31</w:t>
            </w:r>
          </w:p>
        </w:tc>
        <w:tc>
          <w:tcPr>
            <w:tcW w:w="1201" w:type="dxa"/>
            <w:tcBorders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tcBorders>
              <w:left w:val="single" w:color="auto" w:sz="12" w:space="0"/>
            </w:tcBorders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05</w:t>
            </w:r>
          </w:p>
        </w:tc>
        <w:tc>
          <w:tcPr>
            <w:tcW w:w="1985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中医学</w:t>
            </w:r>
          </w:p>
        </w:tc>
        <w:tc>
          <w:tcPr>
            <w:tcW w:w="1812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  <w:lang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/>
              </w:rPr>
              <w:t>90</w:t>
            </w:r>
          </w:p>
        </w:tc>
        <w:tc>
          <w:tcPr>
            <w:tcW w:w="1448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14</w:t>
            </w:r>
          </w:p>
        </w:tc>
        <w:tc>
          <w:tcPr>
            <w:tcW w:w="1201" w:type="dxa"/>
            <w:tcBorders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tcBorders>
              <w:left w:val="single" w:color="auto" w:sz="12" w:space="0"/>
            </w:tcBorders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06</w:t>
            </w:r>
          </w:p>
        </w:tc>
        <w:tc>
          <w:tcPr>
            <w:tcW w:w="1985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药   学</w:t>
            </w:r>
          </w:p>
        </w:tc>
        <w:tc>
          <w:tcPr>
            <w:tcW w:w="1812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  <w:lang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/>
              </w:rPr>
              <w:t>204</w:t>
            </w:r>
          </w:p>
        </w:tc>
        <w:tc>
          <w:tcPr>
            <w:tcW w:w="1448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25</w:t>
            </w:r>
          </w:p>
        </w:tc>
        <w:tc>
          <w:tcPr>
            <w:tcW w:w="1201" w:type="dxa"/>
            <w:tcBorders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tcBorders>
              <w:left w:val="single" w:color="auto" w:sz="12" w:space="0"/>
            </w:tcBorders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07</w:t>
            </w:r>
          </w:p>
        </w:tc>
        <w:tc>
          <w:tcPr>
            <w:tcW w:w="1985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康复治疗技术</w:t>
            </w:r>
          </w:p>
        </w:tc>
        <w:tc>
          <w:tcPr>
            <w:tcW w:w="1812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45</w:t>
            </w:r>
          </w:p>
        </w:tc>
        <w:tc>
          <w:tcPr>
            <w:tcW w:w="1448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14</w:t>
            </w:r>
          </w:p>
        </w:tc>
        <w:tc>
          <w:tcPr>
            <w:tcW w:w="1201" w:type="dxa"/>
            <w:tcBorders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tcBorders>
              <w:left w:val="single" w:color="auto" w:sz="12" w:space="0"/>
            </w:tcBorders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08</w:t>
            </w:r>
          </w:p>
        </w:tc>
        <w:tc>
          <w:tcPr>
            <w:tcW w:w="1985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医学检验技术</w:t>
            </w:r>
          </w:p>
        </w:tc>
        <w:tc>
          <w:tcPr>
            <w:tcW w:w="1812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  <w:lang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/>
              </w:rPr>
              <w:t>77</w:t>
            </w:r>
          </w:p>
        </w:tc>
        <w:tc>
          <w:tcPr>
            <w:tcW w:w="1448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10</w:t>
            </w:r>
          </w:p>
        </w:tc>
        <w:tc>
          <w:tcPr>
            <w:tcW w:w="1201" w:type="dxa"/>
            <w:tcBorders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tcBorders>
              <w:left w:val="single" w:color="auto" w:sz="12" w:space="0"/>
            </w:tcBorders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09</w:t>
            </w:r>
          </w:p>
        </w:tc>
        <w:tc>
          <w:tcPr>
            <w:tcW w:w="1985" w:type="dxa"/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医学影像技术</w:t>
            </w:r>
          </w:p>
        </w:tc>
        <w:tc>
          <w:tcPr>
            <w:tcW w:w="1812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  <w:lang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/>
              </w:rPr>
              <w:t>70</w:t>
            </w:r>
          </w:p>
        </w:tc>
        <w:tc>
          <w:tcPr>
            <w:tcW w:w="1448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13</w:t>
            </w:r>
          </w:p>
        </w:tc>
        <w:tc>
          <w:tcPr>
            <w:tcW w:w="1201" w:type="dxa"/>
            <w:tcBorders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tcBorders>
              <w:left w:val="single" w:color="auto" w:sz="12" w:space="0"/>
              <w:bottom w:val="single" w:color="auto" w:sz="12" w:space="0"/>
            </w:tcBorders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bottom w:val="single" w:color="auto" w:sz="12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医药营销</w:t>
            </w:r>
          </w:p>
        </w:tc>
        <w:tc>
          <w:tcPr>
            <w:tcW w:w="1812" w:type="dxa"/>
            <w:tcBorders>
              <w:bottom w:val="single" w:color="auto" w:sz="12" w:space="0"/>
            </w:tcBorders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46</w:t>
            </w:r>
          </w:p>
        </w:tc>
        <w:tc>
          <w:tcPr>
            <w:tcW w:w="1448" w:type="dxa"/>
            <w:tcBorders>
              <w:bottom w:val="single" w:color="auto" w:sz="12" w:space="0"/>
            </w:tcBorders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12</w:t>
            </w:r>
          </w:p>
        </w:tc>
        <w:tc>
          <w:tcPr>
            <w:tcW w:w="1201" w:type="dxa"/>
            <w:tcBorders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</w:tbl>
    <w:p>
      <w:pPr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 </w:t>
      </w:r>
    </w:p>
    <w:p>
      <w:pPr>
        <w:jc w:val="center"/>
        <w:rPr>
          <w:rFonts w:ascii="仿宋_GB2312" w:hAnsi="仿宋" w:eastAsia="仿宋_GB2312"/>
          <w:b/>
          <w:sz w:val="30"/>
          <w:szCs w:val="30"/>
        </w:rPr>
      </w:pPr>
      <w:r>
        <w:rPr>
          <w:rFonts w:hint="eastAsia" w:ascii="仿宋_GB2312" w:hAnsi="仿宋" w:eastAsia="仿宋_GB2312"/>
          <w:b/>
          <w:sz w:val="30"/>
          <w:szCs w:val="30"/>
        </w:rPr>
        <w:t>第四部分 就业需求与教育教学反馈</w:t>
      </w:r>
    </w:p>
    <w:p>
      <w:pPr>
        <w:jc w:val="center"/>
        <w:rPr>
          <w:rFonts w:ascii="仿宋_GB2312" w:hAnsi="仿宋" w:eastAsia="仿宋_GB2312"/>
          <w:sz w:val="30"/>
          <w:szCs w:val="30"/>
        </w:rPr>
      </w:pPr>
    </w:p>
    <w:p>
      <w:pPr>
        <w:ind w:firstLine="600" w:firstLineChars="2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由于我校是一所专业性极强，培养目标定位明确，学生就业历年来处在较高水平，学生对就业单位满意度高，用人单位亦认可我校培养的学生，这为我校更进一步扩大办学规模及提升办学层次提供较好生源。希望学校在加大教学投入同时，更加重视学生人文教育，提升学生人文素养，为社会培养更多更好更全面的专门人才，更好服务社会。</w:t>
      </w:r>
    </w:p>
    <w:p>
      <w:pPr>
        <w:ind w:firstLine="600" w:firstLineChars="200"/>
        <w:rPr>
          <w:rFonts w:ascii="仿宋_GB2312" w:hAnsi="仿宋" w:eastAsia="仿宋_GB2312"/>
          <w:sz w:val="30"/>
          <w:szCs w:val="30"/>
        </w:rPr>
      </w:pPr>
    </w:p>
    <w:p>
      <w:pPr>
        <w:ind w:firstLine="600" w:firstLineChars="200"/>
        <w:rPr>
          <w:rFonts w:ascii="仿宋_GB2312" w:hAnsi="仿宋" w:eastAsia="仿宋_GB2312"/>
          <w:sz w:val="30"/>
          <w:szCs w:val="30"/>
        </w:rPr>
      </w:pPr>
    </w:p>
    <w:p>
      <w:pPr>
        <w:ind w:firstLine="600" w:firstLineChars="2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 xml:space="preserve">                             二</w:t>
      </w:r>
      <w:r>
        <w:rPr>
          <w:rFonts w:hint="eastAsia" w:ascii="宋体" w:hAnsi="宋体" w:eastAsia="宋体" w:cs="宋体"/>
          <w:sz w:val="30"/>
          <w:szCs w:val="30"/>
        </w:rPr>
        <w:t>〇</w:t>
      </w:r>
      <w:r>
        <w:rPr>
          <w:rFonts w:hint="eastAsia" w:ascii="仿宋_GB2312" w:hAnsi="仿宋_GB2312" w:eastAsia="仿宋_GB2312" w:cs="仿宋_GB2312"/>
          <w:sz w:val="30"/>
          <w:szCs w:val="30"/>
        </w:rPr>
        <w:t>一五年九月二十八日</w:t>
      </w: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0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auto"/>
    <w:pitch w:val="default"/>
    <w:sig w:usb0="E10002FF" w:usb1="4000ACFF" w:usb2="00000009" w:usb3="00000000" w:csb0="0000019F" w:csb1="00000000"/>
  </w:font>
  <w:font w:name="GHPWNS+·½ÕýÐ¡±êËÎ¼òÌå">
    <w:altName w:val="宋体"/>
    <w:panose1 w:val="00000000000000000000"/>
    <w:charset w:val="86"/>
    <w:family w:val="auto"/>
    <w:pitch w:val="default"/>
    <w:sig w:usb0="00000000" w:usb1="01010101" w:usb2="00000000" w:usb3="00000000" w:csb0="00040000" w:csb1="00000000"/>
  </w:font>
  <w:font w:name="DHSMIJ+ËÎÌå">
    <w:altName w:val="宋体"/>
    <w:panose1 w:val="00000000000000000000"/>
    <w:charset w:val="01"/>
    <w:family w:val="auto"/>
    <w:pitch w:val="default"/>
    <w:sig w:usb0="00000000" w:usb1="01010101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_GB2312"/>
    <w:panose1 w:val="00000000000000000000"/>
    <w:charset w:val="86"/>
    <w:family w:val="auto"/>
    <w:pitch w:val="default"/>
    <w:sig w:usb0="00000000" w:usb1="38CF7CFA" w:usb2="00000016" w:usb3="00000000" w:csb0="00040001" w:csb1="00000000"/>
  </w:font>
  <w:font w:name="DBHNLE+ËÎÌå">
    <w:altName w:val="宋体"/>
    <w:panose1 w:val="00000000000000000000"/>
    <w:charset w:val="01"/>
    <w:family w:val="auto"/>
    <w:pitch w:val="default"/>
    <w:sig w:usb0="00000000" w:usb1="01010101" w:usb2="00000006" w:usb3="00000000" w:csb0="00040001" w:csb1="00000000"/>
  </w:font>
  <w:font w:name="EIOCVU+ËÎÌå">
    <w:altName w:val="宋体"/>
    <w:panose1 w:val="00000000000000000000"/>
    <w:charset w:val="01"/>
    <w:family w:val="auto"/>
    <w:pitch w:val="default"/>
    <w:sig w:usb0="00000000" w:usb1="01010101" w:usb2="00000006" w:usb3="00000000" w:csb0="00040001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5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61303B"/>
    <w:rsid w:val="0002377A"/>
    <w:rsid w:val="00083F5C"/>
    <w:rsid w:val="0013689C"/>
    <w:rsid w:val="00154BDE"/>
    <w:rsid w:val="001E6616"/>
    <w:rsid w:val="00200BD6"/>
    <w:rsid w:val="00210EA3"/>
    <w:rsid w:val="002241FD"/>
    <w:rsid w:val="00227807"/>
    <w:rsid w:val="0025472B"/>
    <w:rsid w:val="0025603F"/>
    <w:rsid w:val="00275FF8"/>
    <w:rsid w:val="00284896"/>
    <w:rsid w:val="002866E3"/>
    <w:rsid w:val="002C62C4"/>
    <w:rsid w:val="002D5DD7"/>
    <w:rsid w:val="00337063"/>
    <w:rsid w:val="00360DC9"/>
    <w:rsid w:val="0037630F"/>
    <w:rsid w:val="0038769B"/>
    <w:rsid w:val="003D7D7B"/>
    <w:rsid w:val="003F44B4"/>
    <w:rsid w:val="00422F07"/>
    <w:rsid w:val="0042570A"/>
    <w:rsid w:val="00451F91"/>
    <w:rsid w:val="00474E6A"/>
    <w:rsid w:val="0047554C"/>
    <w:rsid w:val="00480378"/>
    <w:rsid w:val="004954AF"/>
    <w:rsid w:val="004B070B"/>
    <w:rsid w:val="004B683E"/>
    <w:rsid w:val="00501FD6"/>
    <w:rsid w:val="00570618"/>
    <w:rsid w:val="005A430B"/>
    <w:rsid w:val="005A5D6C"/>
    <w:rsid w:val="005D40BA"/>
    <w:rsid w:val="005D4ACC"/>
    <w:rsid w:val="0061303B"/>
    <w:rsid w:val="00625E0E"/>
    <w:rsid w:val="00641876"/>
    <w:rsid w:val="006D0D7F"/>
    <w:rsid w:val="006E340F"/>
    <w:rsid w:val="00724D76"/>
    <w:rsid w:val="00741643"/>
    <w:rsid w:val="00757E19"/>
    <w:rsid w:val="0076786A"/>
    <w:rsid w:val="007953BE"/>
    <w:rsid w:val="007B0C7D"/>
    <w:rsid w:val="007C74DE"/>
    <w:rsid w:val="00813920"/>
    <w:rsid w:val="00827459"/>
    <w:rsid w:val="00831FD2"/>
    <w:rsid w:val="008423B9"/>
    <w:rsid w:val="00866FFD"/>
    <w:rsid w:val="0087068A"/>
    <w:rsid w:val="008B1003"/>
    <w:rsid w:val="008B21DE"/>
    <w:rsid w:val="008B595B"/>
    <w:rsid w:val="008F47FE"/>
    <w:rsid w:val="00931E54"/>
    <w:rsid w:val="009645BC"/>
    <w:rsid w:val="009B1BFE"/>
    <w:rsid w:val="009B3825"/>
    <w:rsid w:val="00A1062D"/>
    <w:rsid w:val="00A13BF5"/>
    <w:rsid w:val="00AC5463"/>
    <w:rsid w:val="00AF1119"/>
    <w:rsid w:val="00B05C80"/>
    <w:rsid w:val="00B3482B"/>
    <w:rsid w:val="00B44E72"/>
    <w:rsid w:val="00B53205"/>
    <w:rsid w:val="00B67ABD"/>
    <w:rsid w:val="00B77841"/>
    <w:rsid w:val="00B80EB2"/>
    <w:rsid w:val="00BA1128"/>
    <w:rsid w:val="00BA3490"/>
    <w:rsid w:val="00BC570F"/>
    <w:rsid w:val="00BD71A7"/>
    <w:rsid w:val="00BF34CE"/>
    <w:rsid w:val="00C22290"/>
    <w:rsid w:val="00C3404F"/>
    <w:rsid w:val="00C92106"/>
    <w:rsid w:val="00CA6616"/>
    <w:rsid w:val="00CB168F"/>
    <w:rsid w:val="00CE5C2A"/>
    <w:rsid w:val="00CF2EE2"/>
    <w:rsid w:val="00CF41A9"/>
    <w:rsid w:val="00D21460"/>
    <w:rsid w:val="00D2164D"/>
    <w:rsid w:val="00D40FB0"/>
    <w:rsid w:val="00D45312"/>
    <w:rsid w:val="00D84E53"/>
    <w:rsid w:val="00DA0AF7"/>
    <w:rsid w:val="00E07347"/>
    <w:rsid w:val="00E171C3"/>
    <w:rsid w:val="00E21AE7"/>
    <w:rsid w:val="00E22AC4"/>
    <w:rsid w:val="00E421F8"/>
    <w:rsid w:val="00F121F1"/>
    <w:rsid w:val="00F17208"/>
    <w:rsid w:val="00F1741E"/>
    <w:rsid w:val="00F801AB"/>
    <w:rsid w:val="00F927B2"/>
    <w:rsid w:val="00FD00BD"/>
    <w:rsid w:val="00FE0283"/>
    <w:rsid w:val="00FE5C9B"/>
    <w:rsid w:val="335F1411"/>
    <w:rsid w:val="5B3B333C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pPr/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7">
    <w:name w:val="Normal_0"/>
    <w:qFormat/>
    <w:uiPriority w:val="0"/>
    <w:pPr>
      <w:spacing w:before="120" w:after="240"/>
      <w:jc w:val="both"/>
    </w:pPr>
    <w:rPr>
      <w:rFonts w:ascii="Calibri" w:hAnsi="Calibri" w:eastAsia="Calibri" w:cs="Times New Roman"/>
      <w:kern w:val="0"/>
      <w:sz w:val="22"/>
      <w:szCs w:val="22"/>
      <w:lang w:eastAsia="en-US" w:bidi="ar-SA"/>
    </w:rPr>
  </w:style>
  <w:style w:type="paragraph" w:customStyle="1" w:styleId="8">
    <w:name w:val="Normal_1"/>
    <w:qFormat/>
    <w:uiPriority w:val="0"/>
    <w:pPr>
      <w:spacing w:before="120" w:after="240"/>
      <w:jc w:val="both"/>
    </w:pPr>
    <w:rPr>
      <w:rFonts w:ascii="Calibri" w:hAnsi="Calibri" w:eastAsia="Calibri" w:cs="Times New Roman"/>
      <w:kern w:val="0"/>
      <w:sz w:val="22"/>
      <w:szCs w:val="22"/>
      <w:lang w:eastAsia="en-US" w:bidi="ar-SA"/>
    </w:rPr>
  </w:style>
  <w:style w:type="paragraph" w:customStyle="1" w:styleId="9">
    <w:name w:val="Normal_2"/>
    <w:qFormat/>
    <w:uiPriority w:val="0"/>
    <w:pPr>
      <w:spacing w:before="120" w:after="240"/>
      <w:jc w:val="both"/>
    </w:pPr>
    <w:rPr>
      <w:rFonts w:ascii="Calibri" w:hAnsi="Calibri" w:eastAsia="Calibri" w:cs="Times New Roman"/>
      <w:kern w:val="0"/>
      <w:sz w:val="22"/>
      <w:szCs w:val="22"/>
      <w:lang w:eastAsia="en-US" w:bidi="ar-SA"/>
    </w:rPr>
  </w:style>
  <w:style w:type="character" w:customStyle="1" w:styleId="10">
    <w:name w:val="页眉 Char"/>
    <w:basedOn w:val="4"/>
    <w:link w:val="3"/>
    <w:uiPriority w:val="99"/>
    <w:rPr>
      <w:rFonts w:ascii="Times New Roman" w:hAnsi="Times New Roman" w:cs="Times New Roman"/>
      <w:kern w:val="0"/>
      <w:sz w:val="18"/>
      <w:szCs w:val="18"/>
    </w:rPr>
  </w:style>
  <w:style w:type="character" w:customStyle="1" w:styleId="11">
    <w:name w:val="页脚 Char"/>
    <w:basedOn w:val="4"/>
    <w:link w:val="2"/>
    <w:uiPriority w:val="99"/>
    <w:rPr>
      <w:rFonts w:ascii="Times New Roman" w:hAnsi="Times New Roman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291</Words>
  <Characters>1659</Characters>
  <Lines>13</Lines>
  <Paragraphs>3</Paragraphs>
  <TotalTime>0</TotalTime>
  <ScaleCrop>false</ScaleCrop>
  <LinksUpToDate>false</LinksUpToDate>
  <CharactersWithSpaces>0</CharactersWithSpaces>
  <Application>WPS Office_9.1.0.5218_F1E327BC-269C-435d-A152-05C5408002CA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2014-10-30T03:31:00Z</dcterms:created>
  <dc:creator>Windows 用户</dc:creator>
  <cp:lastModifiedBy>Administrator</cp:lastModifiedBy>
  <dcterms:modified xsi:type="dcterms:W3CDTF">2015-09-29T02:39:00Z</dcterms:modified>
  <dc:title>肇庆医学高等专科学校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